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right"/>
      </w:pPr>
      <w:r>
        <w:rPr>
          <w:rtl w:val="0"/>
        </w:rPr>
        <w:t xml:space="preserve">Warszawa,  </w:t>
      </w:r>
      <w:bookmarkStart w:name="ezdDataPodpisu" w:id="0"/>
      <w:r>
        <w:rPr>
          <w:rtl w:val="0"/>
        </w:rPr>
        <w:t>07 lipca 2016</w:t>
      </w:r>
      <w:bookmarkEnd w:id="0"/>
      <w:r>
        <w:rPr>
          <w:rtl w:val="0"/>
        </w:rPr>
        <w:t xml:space="preserve"> r.</w:t>
      </w:r>
    </w:p>
    <w:p>
      <w:pPr>
        <w:pStyle w:val="men font"/>
      </w:pPr>
      <w:bookmarkStart w:name="ezdSprawaZnak" w:id="1"/>
      <w:r>
        <w:rPr>
          <w:rFonts w:cs="Arial Unicode MS" w:eastAsia="Arial Unicode MS"/>
          <w:rtl w:val="0"/>
          <w:lang w:val="de-DE"/>
        </w:rPr>
        <w:t>DKO-WNP.4092.58.2016</w:t>
      </w:r>
      <w:bookmarkEnd w:id="1"/>
      <w:r>
        <w:rPr>
          <w:rFonts w:cs="Arial Unicode MS" w:eastAsia="Arial Unicode MS"/>
          <w:rtl w:val="0"/>
        </w:rPr>
        <w:t>.</w:t>
      </w:r>
      <w:bookmarkStart w:name="ezdAutorInicjaly" w:id="2"/>
      <w:r>
        <w:rPr>
          <w:rFonts w:cs="Arial Unicode MS" w:eastAsia="Arial Unicode MS"/>
          <w:rtl w:val="0"/>
        </w:rPr>
        <w:t>DB</w:t>
      </w:r>
      <w:bookmarkEnd w:id="2"/>
    </w:p>
    <w:p>
      <w:pPr>
        <w:pStyle w:val="men font"/>
      </w:pPr>
    </w:p>
    <w:p>
      <w:pPr>
        <w:pStyle w:val="men font"/>
      </w:pPr>
    </w:p>
    <w:p>
      <w:pPr>
        <w:pStyle w:val="men font"/>
      </w:pPr>
    </w:p>
    <w:p>
      <w:pPr>
        <w:pStyle w:val="men font"/>
        <w:spacing w:line="276" w:lineRule="auto"/>
        <w:jc w:val="both"/>
      </w:pPr>
      <w:r>
        <w:rPr>
          <w:rtl w:val="0"/>
        </w:rPr>
        <w:t>Na podstawie art. 35 ust. 2 pkt 1 ustawy z dnia 7 wrze</w:t>
      </w:r>
      <w:r>
        <w:rPr>
          <w:rtl w:val="0"/>
        </w:rPr>
        <w:t>ś</w:t>
      </w:r>
      <w:r>
        <w:rPr>
          <w:rtl w:val="0"/>
        </w:rPr>
        <w:t>nia 1991 r. o systemie o</w:t>
      </w:r>
      <w:r>
        <w:rPr>
          <w:rtl w:val="0"/>
        </w:rPr>
        <w:t>ś</w:t>
      </w:r>
      <w:r>
        <w:rPr>
          <w:rtl w:val="0"/>
        </w:rPr>
        <w:t>wiaty (Dz.U z 2015 r. poz. 2156, z p</w:t>
      </w:r>
      <w:r>
        <w:rPr>
          <w:rtl w:val="0"/>
        </w:rPr>
        <w:t>óź</w:t>
      </w:r>
      <w:r>
        <w:rPr>
          <w:rtl w:val="0"/>
        </w:rPr>
        <w:t>n. zm.) ustalam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 kierunki realizacji polityki o</w:t>
      </w:r>
      <w:r>
        <w:rPr>
          <w:rtl w:val="0"/>
        </w:rPr>
        <w:t>ś</w:t>
      </w:r>
      <w:r>
        <w:rPr>
          <w:rtl w:val="0"/>
        </w:rPr>
        <w:t>wiatowej pa</w:t>
      </w:r>
      <w:r>
        <w:rPr>
          <w:rtl w:val="0"/>
        </w:rPr>
        <w:t>ń</w:t>
      </w:r>
      <w:r>
        <w:rPr>
          <w:rtl w:val="0"/>
        </w:rPr>
        <w:t>stwa w roku szkolnym  2016/2017:</w:t>
      </w:r>
    </w:p>
    <w:p>
      <w:pPr>
        <w:pStyle w:val="men font"/>
        <w:spacing w:line="276" w:lineRule="auto"/>
        <w:jc w:val="both"/>
      </w:pPr>
    </w:p>
    <w:p>
      <w:pPr>
        <w:pStyle w:val="men font"/>
        <w:numPr>
          <w:ilvl w:val="0"/>
          <w:numId w:val="2"/>
        </w:numPr>
        <w:spacing w:line="276" w:lineRule="auto"/>
        <w:jc w:val="both"/>
      </w:pPr>
      <w:r>
        <w:rPr>
          <w:rtl w:val="0"/>
        </w:rPr>
        <w:t>Upowszechnianie czytelnictwa, rozwijanie kompetencji czytelniczych w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 xml:space="preserve">d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dzieci i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</w:rPr>
        <w:t>y.</w:t>
      </w:r>
    </w:p>
    <w:p>
      <w:pPr>
        <w:pStyle w:val="men font"/>
        <w:numPr>
          <w:ilvl w:val="0"/>
          <w:numId w:val="2"/>
        </w:numPr>
        <w:spacing w:line="276" w:lineRule="auto"/>
        <w:jc w:val="both"/>
      </w:pPr>
      <w:r>
        <w:rPr>
          <w:rtl w:val="0"/>
        </w:rPr>
        <w:t>Rozwijanie kompetencji informatycznych dzieci i 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  <w:r>
        <w:rPr>
          <w:rtl w:val="0"/>
          <w:lang w:val="en-US"/>
        </w:rPr>
        <w:t>y w</w:t>
      </w:r>
      <w:r>
        <w:rPr>
          <w:rtl w:val="0"/>
        </w:rPr>
        <w:t> </w:t>
      </w:r>
      <w:r>
        <w:rPr>
          <w:rtl w:val="0"/>
        </w:rPr>
        <w:t>szko</w:t>
      </w:r>
      <w:r>
        <w:rPr>
          <w:rtl w:val="0"/>
        </w:rPr>
        <w:t>ł</w:t>
      </w:r>
      <w:r>
        <w:rPr>
          <w:rtl w:val="0"/>
          <w:lang w:val="de-DE"/>
        </w:rPr>
        <w:t xml:space="preserve">ach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i plac</w:t>
      </w:r>
      <w:r>
        <w:rPr>
          <w:rtl w:val="0"/>
        </w:rPr>
        <w:t>ó</w:t>
      </w:r>
      <w:r>
        <w:rPr>
          <w:rtl w:val="0"/>
        </w:rPr>
        <w:t>wkach.</w:t>
      </w:r>
    </w:p>
    <w:p>
      <w:pPr>
        <w:pStyle w:val="men font"/>
        <w:numPr>
          <w:ilvl w:val="0"/>
          <w:numId w:val="2"/>
        </w:numPr>
        <w:spacing w:line="276" w:lineRule="auto"/>
        <w:jc w:val="both"/>
      </w:pPr>
      <w:r>
        <w:rPr>
          <w:rtl w:val="0"/>
        </w:rPr>
        <w:t>Kszta</w:t>
      </w:r>
      <w:r>
        <w:rPr>
          <w:rtl w:val="0"/>
        </w:rPr>
        <w:t>ł</w:t>
      </w:r>
      <w:r>
        <w:rPr>
          <w:rtl w:val="0"/>
        </w:rPr>
        <w:t>towanie postaw.  Wychowanie do warto</w:t>
      </w:r>
      <w:r>
        <w:rPr>
          <w:rtl w:val="0"/>
        </w:rPr>
        <w:t>ś</w:t>
      </w:r>
      <w:r>
        <w:rPr>
          <w:rtl w:val="0"/>
        </w:rPr>
        <w:t>ci.</w:t>
      </w:r>
    </w:p>
    <w:p>
      <w:pPr>
        <w:pStyle w:val="men font"/>
        <w:numPr>
          <w:ilvl w:val="0"/>
          <w:numId w:val="2"/>
        </w:numPr>
        <w:spacing w:line="276" w:lineRule="auto"/>
        <w:jc w:val="both"/>
      </w:pPr>
      <w:r>
        <w:rPr>
          <w:rtl w:val="0"/>
        </w:rPr>
        <w:t>Podniesienie jako</w:t>
      </w:r>
      <w:r>
        <w:rPr>
          <w:rtl w:val="0"/>
        </w:rPr>
        <w:t>ś</w:t>
      </w:r>
      <w:r>
        <w:rPr>
          <w:rtl w:val="0"/>
        </w:rPr>
        <w:t>ci kszta</w:t>
      </w:r>
      <w:r>
        <w:rPr>
          <w:rtl w:val="0"/>
        </w:rPr>
        <w:t>ł</w:t>
      </w:r>
      <w:r>
        <w:rPr>
          <w:rtl w:val="0"/>
        </w:rPr>
        <w:t>cenia zawodowego w szko</w:t>
      </w:r>
      <w:r>
        <w:rPr>
          <w:rtl w:val="0"/>
        </w:rPr>
        <w:t>ł</w:t>
      </w:r>
      <w:r>
        <w:rPr>
          <w:rtl w:val="0"/>
        </w:rPr>
        <w:t>ach ponadgimnazjalnych poprzez anga</w:t>
      </w:r>
      <w:r>
        <w:rPr>
          <w:rtl w:val="0"/>
        </w:rPr>
        <w:t>ż</w:t>
      </w:r>
      <w:r>
        <w:rPr>
          <w:rtl w:val="0"/>
        </w:rPr>
        <w:t>owanie pracodawc</w:t>
      </w:r>
      <w:r>
        <w:rPr>
          <w:rtl w:val="0"/>
        </w:rPr>
        <w:t>ó</w:t>
      </w:r>
      <w:r>
        <w:rPr>
          <w:rtl w:val="0"/>
        </w:rPr>
        <w:t>w w proces dostosowania kszta</w:t>
      </w:r>
      <w:r>
        <w:rPr>
          <w:rtl w:val="0"/>
        </w:rPr>
        <w:t>ł</w:t>
      </w:r>
      <w:r>
        <w:rPr>
          <w:rtl w:val="0"/>
        </w:rPr>
        <w:t>cenia zawodowego do potrzeb rynku pracy.</w:t>
      </w:r>
    </w:p>
    <w:p>
      <w:pPr>
        <w:pStyle w:val="men font"/>
        <w:spacing w:line="276" w:lineRule="auto"/>
        <w:jc w:val="both"/>
      </w:pPr>
    </w:p>
    <w:p>
      <w:pPr>
        <w:pStyle w:val="men font"/>
        <w:spacing w:line="276" w:lineRule="auto"/>
        <w:jc w:val="both"/>
      </w:pPr>
    </w:p>
    <w:p>
      <w:pPr>
        <w:pStyle w:val="men font"/>
        <w:spacing w:line="276" w:lineRule="auto"/>
        <w:jc w:val="both"/>
      </w:pPr>
      <w:r>
        <w:rPr>
          <w:rtl w:val="0"/>
        </w:rPr>
        <w:t>Kierunki realizacji zada</w:t>
      </w:r>
      <w:r>
        <w:rPr>
          <w:rtl w:val="0"/>
        </w:rPr>
        <w:t xml:space="preserve">ń </w:t>
      </w:r>
      <w:r>
        <w:rPr>
          <w:rtl w:val="0"/>
        </w:rPr>
        <w:t>z zakresu nadzoru pedagogicznego obejmuj</w:t>
      </w:r>
      <w:r>
        <w:rPr>
          <w:rtl w:val="0"/>
        </w:rPr>
        <w:t>ą</w:t>
      </w:r>
      <w:r>
        <w:rPr>
          <w:rtl w:val="0"/>
        </w:rPr>
        <w:t>:</w:t>
      </w:r>
    </w:p>
    <w:p>
      <w:pPr>
        <w:pStyle w:val="men font"/>
        <w:spacing w:line="276" w:lineRule="auto"/>
        <w:jc w:val="both"/>
      </w:pPr>
    </w:p>
    <w:p>
      <w:pPr>
        <w:pStyle w:val="men font"/>
        <w:numPr>
          <w:ilvl w:val="0"/>
          <w:numId w:val="4"/>
        </w:numPr>
        <w:bidi w:val="0"/>
        <w:spacing w:line="276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u w:val="single"/>
          <w:rtl w:val="0"/>
        </w:rPr>
        <w:t>w zakresie kontroli</w:t>
      </w:r>
      <w:r>
        <w:rPr>
          <w:b w:val="1"/>
          <w:bCs w:val="1"/>
          <w:rtl w:val="0"/>
        </w:rPr>
        <w:t>:</w:t>
      </w:r>
    </w:p>
    <w:p>
      <w:pPr>
        <w:pStyle w:val="men font"/>
        <w:spacing w:line="276" w:lineRule="auto"/>
        <w:ind w:left="426" w:firstLine="0"/>
        <w:jc w:val="both"/>
        <w:rPr>
          <w:b w:val="1"/>
          <w:bCs w:val="1"/>
        </w:rPr>
      </w:pPr>
    </w:p>
    <w:p>
      <w:pPr>
        <w:pStyle w:val="men font"/>
        <w:numPr>
          <w:ilvl w:val="0"/>
          <w:numId w:val="6"/>
        </w:numPr>
        <w:spacing w:line="276" w:lineRule="auto"/>
        <w:jc w:val="both"/>
      </w:pPr>
      <w:r>
        <w:rPr>
          <w:rtl w:val="0"/>
        </w:rPr>
        <w:t>w publicznych szko</w:t>
      </w:r>
      <w:r>
        <w:rPr>
          <w:rtl w:val="0"/>
        </w:rPr>
        <w:t>ł</w:t>
      </w:r>
      <w:r>
        <w:rPr>
          <w:rtl w:val="0"/>
        </w:rPr>
        <w:t>ach podstawowych, gimnazjach i szko</w:t>
      </w:r>
      <w:r>
        <w:rPr>
          <w:rtl w:val="0"/>
        </w:rPr>
        <w:t>ł</w:t>
      </w:r>
      <w:r>
        <w:rPr>
          <w:rtl w:val="0"/>
        </w:rPr>
        <w:t>ach ponadgimnazjalnych:</w:t>
      </w:r>
    </w:p>
    <w:p>
      <w:pPr>
        <w:pStyle w:val="men font"/>
        <w:numPr>
          <w:ilvl w:val="0"/>
          <w:numId w:val="8"/>
        </w:numPr>
        <w:bidi w:val="0"/>
        <w:spacing w:line="276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Prawid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owo</w:t>
      </w:r>
      <w:r>
        <w:rPr>
          <w:b w:val="1"/>
          <w:bCs w:val="1"/>
          <w:rtl w:val="0"/>
        </w:rPr>
        <w:t xml:space="preserve">ść </w:t>
      </w:r>
      <w:r>
        <w:rPr>
          <w:b w:val="1"/>
          <w:bCs w:val="1"/>
          <w:rtl w:val="0"/>
        </w:rPr>
        <w:t>organizacji i funkcjonowania biblioteki szkolnej.</w:t>
      </w:r>
      <w:r>
        <w:rPr>
          <w:b w:val="1"/>
          <w:bCs w:val="1"/>
          <w:rtl w:val="0"/>
        </w:rPr>
        <w:t>”</w:t>
      </w:r>
    </w:p>
    <w:p>
      <w:pPr>
        <w:pStyle w:val="men font"/>
        <w:spacing w:line="276" w:lineRule="auto"/>
        <w:ind w:left="851" w:firstLine="0"/>
        <w:jc w:val="both"/>
        <w:rPr>
          <w:b w:val="1"/>
          <w:bCs w:val="1"/>
        </w:rPr>
      </w:pPr>
    </w:p>
    <w:p>
      <w:pPr>
        <w:pStyle w:val="men font"/>
        <w:numPr>
          <w:ilvl w:val="0"/>
          <w:numId w:val="9"/>
        </w:numPr>
        <w:spacing w:line="276" w:lineRule="auto"/>
        <w:jc w:val="both"/>
      </w:pPr>
      <w:r>
        <w:rPr>
          <w:rtl w:val="0"/>
        </w:rPr>
        <w:t>w publicznych technikach i zasadniczych szko</w:t>
      </w:r>
      <w:r>
        <w:rPr>
          <w:rtl w:val="0"/>
        </w:rPr>
        <w:t>ł</w:t>
      </w:r>
      <w:r>
        <w:rPr>
          <w:rtl w:val="0"/>
        </w:rPr>
        <w:t>ach zawodowych:</w:t>
      </w:r>
    </w:p>
    <w:p>
      <w:pPr>
        <w:pStyle w:val="men font"/>
        <w:numPr>
          <w:ilvl w:val="0"/>
          <w:numId w:val="8"/>
        </w:numPr>
        <w:bidi w:val="0"/>
        <w:spacing w:line="276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Realizacja kszta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cenia dualnego w ramach praktycznej nauki zawodu.</w:t>
      </w:r>
      <w:r>
        <w:rPr>
          <w:b w:val="1"/>
          <w:bCs w:val="1"/>
          <w:rtl w:val="0"/>
        </w:rPr>
        <w:t>”</w:t>
      </w:r>
    </w:p>
    <w:p>
      <w:pPr>
        <w:pStyle w:val="men font"/>
        <w:spacing w:line="276" w:lineRule="auto"/>
        <w:ind w:left="851" w:firstLine="0"/>
        <w:jc w:val="both"/>
        <w:rPr>
          <w:b w:val="1"/>
          <w:bCs w:val="1"/>
        </w:rPr>
      </w:pPr>
    </w:p>
    <w:p>
      <w:pPr>
        <w:pStyle w:val="men font"/>
        <w:numPr>
          <w:ilvl w:val="0"/>
          <w:numId w:val="10"/>
        </w:numPr>
        <w:spacing w:line="276" w:lineRule="auto"/>
        <w:jc w:val="both"/>
      </w:pPr>
      <w:r>
        <w:rPr>
          <w:rtl w:val="0"/>
        </w:rPr>
        <w:t>w publicznych przedszkolach, innych formach wychowania przedszkolnego i oddzia</w:t>
      </w:r>
      <w:r>
        <w:rPr>
          <w:rtl w:val="0"/>
        </w:rPr>
        <w:t>ł</w:t>
      </w:r>
      <w:r>
        <w:rPr>
          <w:rtl w:val="0"/>
        </w:rPr>
        <w:t>ach przedszkolnych w szko</w:t>
      </w:r>
      <w:r>
        <w:rPr>
          <w:rtl w:val="0"/>
        </w:rPr>
        <w:t>ł</w:t>
      </w:r>
      <w:r>
        <w:rPr>
          <w:rtl w:val="0"/>
        </w:rPr>
        <w:t>ach podstawowych:</w:t>
      </w:r>
    </w:p>
    <w:p>
      <w:pPr>
        <w:pStyle w:val="men font"/>
        <w:numPr>
          <w:ilvl w:val="0"/>
          <w:numId w:val="8"/>
        </w:numPr>
        <w:bidi w:val="0"/>
        <w:spacing w:line="276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Zgodno</w:t>
      </w:r>
      <w:r>
        <w:rPr>
          <w:b w:val="1"/>
          <w:bCs w:val="1"/>
          <w:rtl w:val="0"/>
        </w:rPr>
        <w:t xml:space="preserve">ść </w:t>
      </w:r>
      <w:r>
        <w:rPr>
          <w:b w:val="1"/>
          <w:bCs w:val="1"/>
          <w:rtl w:val="0"/>
        </w:rPr>
        <w:t>z przepisami prawa przeprowadzania post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powania rekrutacyjnego do przedszkoli na rok szkolny 2017/2018.</w:t>
      </w:r>
      <w:r>
        <w:rPr>
          <w:b w:val="1"/>
          <w:bCs w:val="1"/>
          <w:rtl w:val="0"/>
        </w:rPr>
        <w:t>”</w:t>
      </w:r>
    </w:p>
    <w:p>
      <w:pPr>
        <w:pStyle w:val="men font"/>
        <w:spacing w:line="276" w:lineRule="auto"/>
        <w:ind w:left="426" w:firstLine="0"/>
        <w:jc w:val="both"/>
      </w:pPr>
    </w:p>
    <w:p>
      <w:pPr>
        <w:pStyle w:val="men font"/>
        <w:spacing w:line="276" w:lineRule="auto"/>
        <w:ind w:left="426" w:firstLine="0"/>
        <w:jc w:val="both"/>
        <w:rPr>
          <w:b w:val="1"/>
          <w:bCs w:val="1"/>
          <w:u w:val="single"/>
        </w:rPr>
      </w:pPr>
    </w:p>
    <w:p>
      <w:pPr>
        <w:pStyle w:val="men font"/>
        <w:numPr>
          <w:ilvl w:val="0"/>
          <w:numId w:val="11"/>
        </w:numPr>
        <w:bidi w:val="0"/>
        <w:spacing w:line="276" w:lineRule="auto"/>
        <w:ind w:right="0"/>
        <w:jc w:val="both"/>
        <w:rPr>
          <w:b w:val="1"/>
          <w:bCs w:val="1"/>
          <w:u w:val="single"/>
          <w:rtl w:val="0"/>
        </w:rPr>
      </w:pPr>
      <w:r>
        <w:rPr>
          <w:b w:val="1"/>
          <w:bCs w:val="1"/>
          <w:u w:val="single"/>
          <w:rtl w:val="0"/>
        </w:rPr>
        <w:t>w zakresie ewaluacji:</w:t>
      </w:r>
    </w:p>
    <w:p>
      <w:pPr>
        <w:pStyle w:val="men font"/>
        <w:spacing w:line="276" w:lineRule="auto"/>
        <w:jc w:val="both"/>
      </w:pPr>
    </w:p>
    <w:p>
      <w:pPr>
        <w:pStyle w:val="men font"/>
        <w:spacing w:line="276" w:lineRule="auto"/>
        <w:jc w:val="both"/>
      </w:pPr>
      <w:r>
        <w:rPr>
          <w:rtl w:val="0"/>
        </w:rPr>
        <w:t>Ewaluacje problemowe (60% wszystkich ewaluacji w roku szkolnym):</w:t>
      </w:r>
    </w:p>
    <w:p>
      <w:pPr>
        <w:pStyle w:val="men font"/>
        <w:spacing w:line="276" w:lineRule="auto"/>
        <w:jc w:val="both"/>
      </w:pPr>
      <w:r>
        <w:rPr>
          <w:rtl w:val="0"/>
        </w:rPr>
        <w:t>W szko</w:t>
      </w:r>
      <w:r>
        <w:rPr>
          <w:rtl w:val="0"/>
        </w:rPr>
        <w:t>ł</w:t>
      </w:r>
      <w:r>
        <w:rPr>
          <w:rtl w:val="0"/>
        </w:rPr>
        <w:t>ach podstawowych, gimnazjach, szko</w:t>
      </w:r>
      <w:r>
        <w:rPr>
          <w:rtl w:val="0"/>
        </w:rPr>
        <w:t>ł</w:t>
      </w:r>
      <w:r>
        <w:rPr>
          <w:rtl w:val="0"/>
        </w:rPr>
        <w:t>ach ponadgimnazjalnych, plac</w:t>
      </w:r>
      <w:r>
        <w:rPr>
          <w:rtl w:val="0"/>
        </w:rPr>
        <w:t>ó</w:t>
      </w:r>
      <w:r>
        <w:rPr>
          <w:rtl w:val="0"/>
        </w:rPr>
        <w:t>wkach kszta</w:t>
      </w:r>
      <w:r>
        <w:rPr>
          <w:rtl w:val="0"/>
        </w:rPr>
        <w:t>ł</w:t>
      </w:r>
      <w:r>
        <w:rPr>
          <w:rtl w:val="0"/>
        </w:rPr>
        <w:t>cenia ustawicznego oraz o</w:t>
      </w:r>
      <w:r>
        <w:rPr>
          <w:rtl w:val="0"/>
        </w:rPr>
        <w:t>ś</w:t>
      </w:r>
      <w:r>
        <w:rPr>
          <w:rtl w:val="0"/>
        </w:rPr>
        <w:t>rodkach dokszta</w:t>
      </w:r>
      <w:r>
        <w:rPr>
          <w:rtl w:val="0"/>
        </w:rPr>
        <w:t>ł</w:t>
      </w:r>
      <w:r>
        <w:rPr>
          <w:rtl w:val="0"/>
        </w:rPr>
        <w:t>cania i</w:t>
      </w:r>
      <w:r>
        <w:rPr>
          <w:rtl w:val="0"/>
        </w:rPr>
        <w:t> </w:t>
      </w:r>
      <w:r>
        <w:rPr>
          <w:rtl w:val="0"/>
        </w:rPr>
        <w:t>doskonalenia zawodowego - w zakresie  wymaga</w:t>
      </w:r>
      <w:r>
        <w:rPr>
          <w:rtl w:val="0"/>
        </w:rPr>
        <w:t>ń</w:t>
      </w:r>
      <w:r>
        <w:rPr>
          <w:rtl w:val="0"/>
        </w:rPr>
        <w:t>:</w:t>
      </w:r>
    </w:p>
    <w:p>
      <w:pPr>
        <w:pStyle w:val="men font"/>
        <w:numPr>
          <w:ilvl w:val="0"/>
          <w:numId w:val="12"/>
        </w:numPr>
        <w:bidi w:val="0"/>
        <w:spacing w:line="276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Kszta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towane s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postawy i respektowane normy spo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eczne</w:t>
      </w:r>
      <w:r>
        <w:rPr>
          <w:b w:val="1"/>
          <w:bCs w:val="1"/>
          <w:rtl w:val="0"/>
        </w:rPr>
        <w:t>”</w:t>
      </w:r>
      <w:r>
        <w:rPr>
          <w:b w:val="1"/>
          <w:bCs w:val="1"/>
          <w:rtl w:val="0"/>
        </w:rPr>
        <w:t>;</w:t>
      </w:r>
    </w:p>
    <w:p>
      <w:pPr>
        <w:pStyle w:val="men font"/>
        <w:numPr>
          <w:ilvl w:val="0"/>
          <w:numId w:val="12"/>
        </w:numPr>
        <w:bidi w:val="0"/>
        <w:spacing w:line="276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Szko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 lub plac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wka wspomaga rozw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j uczni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w, z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uwzgl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dnieniem ich indywidualnej sytuacji</w:t>
      </w:r>
      <w:r>
        <w:rPr>
          <w:b w:val="1"/>
          <w:bCs w:val="1"/>
          <w:rtl w:val="0"/>
        </w:rPr>
        <w:t>”</w:t>
      </w:r>
      <w:r>
        <w:rPr>
          <w:b w:val="1"/>
          <w:bCs w:val="1"/>
          <w:rtl w:val="0"/>
        </w:rPr>
        <w:t>.</w:t>
      </w:r>
    </w:p>
    <w:p>
      <w:pPr>
        <w:pStyle w:val="men font"/>
        <w:spacing w:line="276" w:lineRule="auto"/>
        <w:ind w:left="709" w:firstLine="0"/>
        <w:jc w:val="both"/>
        <w:rPr>
          <w:b w:val="1"/>
          <w:bCs w:val="1"/>
        </w:rPr>
      </w:pPr>
    </w:p>
    <w:p>
      <w:pPr>
        <w:pStyle w:val="men font"/>
        <w:spacing w:line="276" w:lineRule="auto"/>
        <w:jc w:val="both"/>
      </w:pPr>
      <w:r>
        <w:rPr>
          <w:b w:val="1"/>
          <w:bCs w:val="1"/>
          <w:rtl w:val="0"/>
        </w:rPr>
        <w:t>Ewaluacje problemowe w zakresie wybranym przez kuratora 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wiaty na podstawie wniosk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z nadzoru pedagogicznego</w:t>
      </w:r>
      <w:r>
        <w:rPr>
          <w:rtl w:val="0"/>
        </w:rPr>
        <w:t xml:space="preserve"> (40% wszystkich ewaluacji w roku szkolnym).</w:t>
      </w:r>
    </w:p>
    <w:p>
      <w:pPr>
        <w:pStyle w:val="men font"/>
        <w:spacing w:line="276" w:lineRule="auto"/>
        <w:jc w:val="both"/>
      </w:pPr>
    </w:p>
    <w:p>
      <w:pPr>
        <w:pStyle w:val="men font"/>
        <w:spacing w:line="276" w:lineRule="auto"/>
        <w:jc w:val="both"/>
      </w:pPr>
      <w:r>
        <w:rPr>
          <w:rtl w:val="0"/>
        </w:rPr>
        <w:t>W roku szkolnym 2016/2017 monitorowanie b</w:t>
      </w:r>
      <w:r>
        <w:rPr>
          <w:rtl w:val="0"/>
        </w:rPr>
        <w:t>ę</w:t>
      </w:r>
      <w:r>
        <w:rPr>
          <w:rtl w:val="0"/>
        </w:rPr>
        <w:t>dzie obejmowa</w:t>
      </w:r>
      <w:r>
        <w:rPr>
          <w:rtl w:val="0"/>
        </w:rPr>
        <w:t>ł</w:t>
      </w:r>
      <w:r>
        <w:rPr>
          <w:rtl w:val="0"/>
          <w:lang w:val="it-IT"/>
        </w:rPr>
        <w:t>o:</w:t>
      </w:r>
    </w:p>
    <w:p>
      <w:pPr>
        <w:pStyle w:val="men font"/>
        <w:spacing w:line="276" w:lineRule="auto"/>
        <w:jc w:val="both"/>
      </w:pPr>
    </w:p>
    <w:p>
      <w:pPr>
        <w:pStyle w:val="men font"/>
        <w:numPr>
          <w:ilvl w:val="0"/>
          <w:numId w:val="14"/>
        </w:numPr>
        <w:bidi w:val="0"/>
        <w:spacing w:line="276" w:lineRule="auto"/>
        <w:ind w:right="0"/>
        <w:jc w:val="both"/>
        <w:rPr>
          <w:b w:val="1"/>
          <w:bCs w:val="1"/>
          <w:rtl w:val="0"/>
        </w:rPr>
      </w:pPr>
      <w:r>
        <w:rPr>
          <w:b w:val="0"/>
          <w:bCs w:val="0"/>
          <w:rtl w:val="0"/>
        </w:rPr>
        <w:t>„</w:t>
      </w:r>
      <w:r>
        <w:rPr>
          <w:b w:val="1"/>
          <w:bCs w:val="1"/>
          <w:rtl w:val="0"/>
        </w:rPr>
        <w:t>Spos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b realizacji zada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z zakresu upowszechniania czytelnictwa, rozwijania kompetencji czytelniczych w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d dzieci i m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odzie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  <w:lang w:val="en-US"/>
        </w:rPr>
        <w:t>y w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szkole podstawowej i gimnazjum</w:t>
      </w:r>
      <w:r>
        <w:rPr>
          <w:b w:val="1"/>
          <w:bCs w:val="1"/>
          <w:rtl w:val="0"/>
        </w:rPr>
        <w:t>”</w:t>
      </w:r>
      <w:r>
        <w:rPr>
          <w:b w:val="1"/>
          <w:bCs w:val="1"/>
          <w:rtl w:val="0"/>
        </w:rPr>
        <w:t>.</w:t>
      </w:r>
    </w:p>
    <w:p>
      <w:pPr>
        <w:pStyle w:val="men font"/>
        <w:spacing w:line="276" w:lineRule="auto"/>
        <w:ind w:left="567" w:hanging="283"/>
        <w:jc w:val="both"/>
        <w:rPr>
          <w:b w:val="1"/>
          <w:bCs w:val="1"/>
        </w:rPr>
      </w:pPr>
    </w:p>
    <w:p>
      <w:pPr>
        <w:pStyle w:val="men font"/>
        <w:numPr>
          <w:ilvl w:val="0"/>
          <w:numId w:val="16"/>
        </w:numPr>
        <w:bidi w:val="0"/>
        <w:spacing w:line="276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Liczb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uczni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technikum i zasadniczej szko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y zawodowej realizuj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cych kszta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cenie dualne w ramach praktycznej nauki zawodu</w:t>
      </w:r>
      <w:r>
        <w:rPr>
          <w:b w:val="1"/>
          <w:bCs w:val="1"/>
          <w:rtl w:val="0"/>
        </w:rPr>
        <w:t>”</w:t>
      </w:r>
      <w:r>
        <w:rPr>
          <w:b w:val="1"/>
          <w:bCs w:val="1"/>
          <w:rtl w:val="0"/>
        </w:rPr>
        <w:t>.</w:t>
      </w:r>
    </w:p>
    <w:p>
      <w:pPr>
        <w:pStyle w:val="men font"/>
        <w:spacing w:line="276" w:lineRule="auto"/>
        <w:ind w:left="567" w:hanging="283"/>
        <w:jc w:val="both"/>
        <w:rPr>
          <w:b w:val="1"/>
          <w:bCs w:val="1"/>
        </w:rPr>
      </w:pPr>
    </w:p>
    <w:p>
      <w:pPr>
        <w:pStyle w:val="men font"/>
        <w:numPr>
          <w:ilvl w:val="0"/>
          <w:numId w:val="14"/>
        </w:numPr>
        <w:bidi w:val="0"/>
        <w:spacing w:line="276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Organizacj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 xml:space="preserve">pracy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wietlicy w szko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ach podstawowych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</w:rPr>
        <w:t>i gimnazjach, w tym specjalnych</w:t>
      </w:r>
      <w:r>
        <w:rPr>
          <w:b w:val="1"/>
          <w:bCs w:val="1"/>
          <w:rtl w:val="0"/>
        </w:rPr>
        <w:t>”</w:t>
      </w:r>
      <w:r>
        <w:rPr>
          <w:b w:val="1"/>
          <w:bCs w:val="1"/>
          <w:rtl w:val="0"/>
        </w:rPr>
        <w:t>.</w:t>
      </w:r>
    </w:p>
    <w:p>
      <w:pPr>
        <w:pStyle w:val="men font"/>
      </w:pPr>
    </w:p>
    <w:p>
      <w:pPr>
        <w:pStyle w:val="men font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line">
                  <wp:posOffset>196214</wp:posOffset>
                </wp:positionV>
                <wp:extent cx="2628900" cy="1409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5.6pt;margin-top:15.4pt;width:207.0pt;height:111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men font"/>
      </w:pPr>
    </w:p>
    <w:p>
      <w:pPr>
        <w:pStyle w:val="men font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276" w:right="1701" w:bottom="0" w:left="1701" w:header="1701" w:footer="170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478"/>
        <w:tab w:val="clear" w:pos="9072"/>
      </w:tabs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478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1084579</wp:posOffset>
          </wp:positionH>
          <wp:positionV relativeFrom="page">
            <wp:posOffset>9596755</wp:posOffset>
          </wp:positionV>
          <wp:extent cx="5391150" cy="1095375"/>
          <wp:effectExtent l="0" t="0" r="0" b="0"/>
          <wp:wrapNone/>
          <wp:docPr id="1073741825" name="officeArt object" descr="DYREKTOR GENERALNY-footer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DYREKTOR GENERALNY-footer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478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3404870</wp:posOffset>
          </wp:positionH>
          <wp:positionV relativeFrom="page">
            <wp:posOffset>612140</wp:posOffset>
          </wp:positionV>
          <wp:extent cx="750571" cy="828664"/>
          <wp:effectExtent l="0" t="0" r="0" b="0"/>
          <wp:wrapNone/>
          <wp:docPr id="1073741826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1" cy="8286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1084579</wp:posOffset>
          </wp:positionH>
          <wp:positionV relativeFrom="page">
            <wp:posOffset>9596755</wp:posOffset>
          </wp:positionV>
          <wp:extent cx="5391150" cy="1095375"/>
          <wp:effectExtent l="0" t="0" r="0" b="0"/>
          <wp:wrapNone/>
          <wp:docPr id="1073741827" name="officeArt object" descr="DYREKTOR GENERALNY-footer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DYREKTOR GENERALNY-footer-kolor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right" w:pos="8478"/>
        <w:tab w:val="clear" w:pos="9072"/>
      </w:tabs>
      <w:rPr>
        <w:sz w:val="28"/>
        <w:szCs w:val="28"/>
      </w:rPr>
    </w:pPr>
  </w:p>
  <w:p>
    <w:pPr>
      <w:pStyle w:val="header"/>
      <w:tabs>
        <w:tab w:val="right" w:pos="8478"/>
        <w:tab w:val="clear" w:pos="9072"/>
      </w:tabs>
      <w:jc w:val="center"/>
      <w:rPr>
        <w:rFonts w:ascii="Cambria" w:cs="Cambria" w:hAnsi="Cambria" w:eastAsia="Cambria"/>
        <w:sz w:val="34"/>
        <w:szCs w:val="34"/>
      </w:rPr>
    </w:pPr>
    <w:r>
      <w:rPr>
        <w:rFonts w:ascii="Cambria" w:cs="Cambria" w:hAnsi="Cambria" w:eastAsia="Cambria"/>
        <w:sz w:val="34"/>
        <w:szCs w:val="34"/>
        <w:rtl w:val="0"/>
        <w:lang w:val="de-DE"/>
      </w:rPr>
      <w:t>MINISTER EDUKACJI NARODOWEJ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)"/>
      <w:lvlJc w:val="left"/>
      <w:pPr>
        <w:ind w:left="42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6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6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6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lowerLetter"/>
      <w:suff w:val="tab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bullet"/>
      <w:suff w:val="tab"/>
      <w:lvlText w:val="−"/>
      <w:lvlJc w:val="left"/>
      <w:pPr>
        <w:ind w:left="851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71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91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011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31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51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71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91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11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bullet"/>
      <w:suff w:val="tab"/>
      <w:lvlText w:val="−"/>
      <w:lvlJc w:val="left"/>
      <w:pPr>
        <w:ind w:left="56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2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8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2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bullet"/>
      <w:suff w:val="tab"/>
      <w:lvlText w:val="−"/>
      <w:lvlJc w:val="left"/>
      <w:pPr>
        <w:ind w:left="56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2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8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2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4"/>
    <w:lvlOverride w:ilvl="0">
      <w:startOverride w:val="2"/>
    </w:lvlOverride>
  </w:num>
  <w:num w:numId="10">
    <w:abstractNumId w:val="4"/>
    <w:lvlOverride w:ilvl="0">
      <w:startOverride w:val="3"/>
    </w:lvlOverride>
  </w:num>
  <w:num w:numId="11">
    <w:abstractNumId w:val="2"/>
    <w:lvlOverride w:ilvl="0">
      <w:startOverride w:val="2"/>
    </w:lvlOverride>
  </w:num>
  <w:num w:numId="12">
    <w:abstractNumId w:val="6"/>
    <w:lvlOverride w:ilvl="0">
      <w:lvl w:ilvl="0">
        <w:start w:val="1"/>
        <w:numFmt w:val="bullet"/>
        <w:suff w:val="tab"/>
        <w:lvlText w:val="−"/>
        <w:lvlJc w:val="left"/>
        <w:pPr>
          <w:ind w:left="567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87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007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727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47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67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87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607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27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</w:num>
  <w:num w:numId="14">
    <w:abstractNumId w:val="8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men font">
    <w:name w:val="men font"/>
    <w:next w:val="men fo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7"/>
      </w:numPr>
    </w:pPr>
  </w:style>
  <w:style w:type="numbering" w:styleId="Zaimportowany styl 5">
    <w:name w:val="Zaimportowany styl 5"/>
    <w:pPr>
      <w:numPr>
        <w:numId w:val="13"/>
      </w:numPr>
    </w:pPr>
  </w:style>
  <w:style w:type="numbering" w:styleId="Zaimportowany styl 6">
    <w:name w:val="Zaimportowany styl 6"/>
    <w:pPr>
      <w:numPr>
        <w:numId w:val="1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